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28BD9" w14:textId="0E415FC1" w:rsidR="003844E2" w:rsidRPr="00C2427F" w:rsidRDefault="003844E2" w:rsidP="003844E2">
      <w:pPr>
        <w:pStyle w:val="CRCoverPage"/>
        <w:tabs>
          <w:tab w:val="right" w:pos="9639"/>
        </w:tabs>
        <w:spacing w:after="0"/>
        <w:rPr>
          <w:b/>
          <w:i/>
          <w:noProof/>
          <w:sz w:val="28"/>
        </w:rPr>
      </w:pPr>
      <w:bookmarkStart w:id="0" w:name="historyclause"/>
      <w:r w:rsidRPr="00C2427F">
        <w:rPr>
          <w:b/>
          <w:noProof/>
          <w:sz w:val="24"/>
        </w:rPr>
        <w:t>3GPP TSG-</w:t>
      </w:r>
      <w:fldSimple w:instr=" DOCPROPERTY  TSG/WGRef  \* MERGEFORMAT ">
        <w:r w:rsidRPr="00C2427F">
          <w:rPr>
            <w:b/>
            <w:noProof/>
            <w:sz w:val="24"/>
          </w:rPr>
          <w:t>RAN4</w:t>
        </w:r>
      </w:fldSimple>
      <w:r w:rsidRPr="00C2427F">
        <w:rPr>
          <w:b/>
          <w:noProof/>
          <w:sz w:val="24"/>
        </w:rPr>
        <w:t xml:space="preserve"> Meeting #104-e</w:t>
      </w:r>
      <w:r w:rsidRPr="00C2427F">
        <w:rPr>
          <w:b/>
          <w:i/>
          <w:noProof/>
          <w:sz w:val="28"/>
        </w:rPr>
        <w:tab/>
      </w:r>
      <w:r w:rsidRPr="00C2427F">
        <w:rPr>
          <w:b/>
          <w:noProof/>
          <w:sz w:val="24"/>
        </w:rPr>
        <w:t>R4-22</w:t>
      </w:r>
      <w:r w:rsidR="00523FCE">
        <w:rPr>
          <w:b/>
          <w:noProof/>
          <w:sz w:val="24"/>
        </w:rPr>
        <w:t>11881</w:t>
      </w:r>
    </w:p>
    <w:p w14:paraId="72EBB6A1" w14:textId="77777777" w:rsidR="003844E2" w:rsidRPr="00C2427F" w:rsidRDefault="003844E2" w:rsidP="003844E2">
      <w:pPr>
        <w:pStyle w:val="CRCoverPage"/>
        <w:outlineLvl w:val="0"/>
        <w:rPr>
          <w:b/>
          <w:noProof/>
          <w:sz w:val="24"/>
        </w:rPr>
      </w:pPr>
      <w:r w:rsidRPr="00C2427F">
        <w:rPr>
          <w:b/>
          <w:noProof/>
          <w:sz w:val="24"/>
        </w:rPr>
        <w:t>Electronic Meeting, Aug. 15 – 26, 2022</w:t>
      </w:r>
    </w:p>
    <w:p w14:paraId="57CA4489" w14:textId="080541A3"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Agenda item:</w:t>
      </w:r>
      <w:bookmarkStart w:id="1" w:name="Source"/>
      <w:bookmarkEnd w:id="1"/>
      <w:r w:rsidRPr="00C2427F">
        <w:rPr>
          <w:rFonts w:ascii="Arial" w:hAnsi="Arial" w:cs="Arial"/>
          <w:b/>
          <w:sz w:val="22"/>
          <w:szCs w:val="22"/>
        </w:rPr>
        <w:tab/>
        <w:t>11.</w:t>
      </w:r>
      <w:r w:rsidR="00DA41E8">
        <w:rPr>
          <w:rFonts w:ascii="Arial" w:hAnsi="Arial" w:cs="Arial"/>
          <w:b/>
          <w:sz w:val="22"/>
          <w:szCs w:val="22"/>
        </w:rPr>
        <w:t>13</w:t>
      </w:r>
      <w:r w:rsidRPr="00C2427F">
        <w:rPr>
          <w:rFonts w:ascii="Arial" w:hAnsi="Arial" w:cs="Arial"/>
          <w:b/>
          <w:sz w:val="22"/>
          <w:szCs w:val="22"/>
        </w:rPr>
        <w:t>.</w:t>
      </w:r>
      <w:r w:rsidR="00455C0B">
        <w:rPr>
          <w:rFonts w:ascii="Arial" w:hAnsi="Arial" w:cs="Arial"/>
          <w:b/>
          <w:sz w:val="22"/>
          <w:szCs w:val="22"/>
        </w:rPr>
        <w:t>3</w:t>
      </w:r>
    </w:p>
    <w:p w14:paraId="05B413F7" w14:textId="77777777" w:rsidR="003844E2" w:rsidRPr="00C2427F" w:rsidRDefault="003844E2" w:rsidP="003844E2">
      <w:pPr>
        <w:tabs>
          <w:tab w:val="left" w:pos="1985"/>
        </w:tabs>
        <w:spacing w:after="120"/>
        <w:rPr>
          <w:rFonts w:ascii="Arial" w:hAnsi="Arial" w:cs="Arial"/>
          <w:sz w:val="22"/>
          <w:szCs w:val="22"/>
        </w:rPr>
      </w:pPr>
      <w:r w:rsidRPr="00C2427F">
        <w:rPr>
          <w:rFonts w:ascii="Arial" w:hAnsi="Arial" w:cs="Arial"/>
          <w:b/>
          <w:sz w:val="22"/>
          <w:szCs w:val="22"/>
        </w:rPr>
        <w:t>Source:</w:t>
      </w:r>
      <w:r w:rsidRPr="00C2427F">
        <w:rPr>
          <w:rFonts w:ascii="Arial" w:hAnsi="Arial" w:cs="Arial"/>
          <w:b/>
          <w:sz w:val="22"/>
          <w:szCs w:val="22"/>
        </w:rPr>
        <w:tab/>
        <w:t>Apple</w:t>
      </w:r>
    </w:p>
    <w:p w14:paraId="686E9630" w14:textId="6C4DA309"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 xml:space="preserve">Title:   </w:t>
      </w:r>
      <w:r w:rsidRPr="00C2427F">
        <w:rPr>
          <w:rFonts w:ascii="Arial" w:hAnsi="Arial" w:cs="Arial"/>
          <w:b/>
          <w:sz w:val="22"/>
          <w:szCs w:val="22"/>
        </w:rPr>
        <w:tab/>
      </w:r>
      <w:r w:rsidR="00455C0B" w:rsidRPr="00455C0B">
        <w:rPr>
          <w:rFonts w:ascii="Arial" w:hAnsi="Arial" w:cs="Arial"/>
          <w:b/>
          <w:sz w:val="22"/>
          <w:szCs w:val="22"/>
        </w:rPr>
        <w:t>On regulatory aspects of evolution of NR duplex operation</w:t>
      </w:r>
    </w:p>
    <w:p w14:paraId="758496C3" w14:textId="7E85C99F"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Document for:</w:t>
      </w:r>
      <w:r w:rsidRPr="00C2427F">
        <w:rPr>
          <w:rFonts w:ascii="Arial" w:hAnsi="Arial" w:cs="Arial"/>
          <w:b/>
          <w:sz w:val="22"/>
          <w:szCs w:val="22"/>
        </w:rPr>
        <w:tab/>
      </w:r>
      <w:bookmarkStart w:id="2" w:name="DocumentFor"/>
      <w:bookmarkEnd w:id="2"/>
      <w:r w:rsidR="006E2A42" w:rsidRPr="00C2427F">
        <w:rPr>
          <w:rFonts w:ascii="Arial" w:hAnsi="Arial" w:cs="Arial"/>
          <w:b/>
          <w:sz w:val="22"/>
          <w:szCs w:val="22"/>
        </w:rPr>
        <w:t>Discussion</w:t>
      </w:r>
    </w:p>
    <w:p w14:paraId="0207DB43" w14:textId="77777777" w:rsidR="00D46431" w:rsidRPr="00C2427F" w:rsidRDefault="00D46431" w:rsidP="00D309CC">
      <w:pPr>
        <w:pStyle w:val="CH"/>
        <w:rPr>
          <w:b w:val="0"/>
        </w:rPr>
      </w:pPr>
    </w:p>
    <w:p w14:paraId="0273524A" w14:textId="1D8BC476" w:rsidR="008E7986" w:rsidRPr="00C2427F" w:rsidRDefault="00AC0039" w:rsidP="00AC0039">
      <w:pPr>
        <w:pStyle w:val="Heading1"/>
      </w:pPr>
      <w:r w:rsidRPr="00C2427F">
        <w:rPr>
          <w:lang w:val="en-US"/>
        </w:rPr>
        <w:t>1</w:t>
      </w:r>
      <w:r w:rsidRPr="00C2427F">
        <w:tab/>
      </w:r>
      <w:r w:rsidR="008E7986" w:rsidRPr="00C2427F">
        <w:t xml:space="preserve">Introduction </w:t>
      </w:r>
    </w:p>
    <w:p w14:paraId="1AC382D1" w14:textId="77777777" w:rsidR="0031539C" w:rsidRDefault="00DA0358" w:rsidP="007136CC">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T</w:t>
      </w:r>
      <w:r w:rsidR="008E112D" w:rsidRPr="00C2427F">
        <w:rPr>
          <w:sz w:val="20"/>
          <w:szCs w:val="20"/>
          <w:lang w:eastAsia="ja-JP"/>
        </w:rPr>
        <w:t xml:space="preserve">he </w:t>
      </w:r>
      <w:r>
        <w:rPr>
          <w:sz w:val="20"/>
          <w:szCs w:val="20"/>
          <w:lang w:eastAsia="ja-JP"/>
        </w:rPr>
        <w:t>S</w:t>
      </w:r>
      <w:r w:rsidR="008E112D" w:rsidRPr="00C2427F">
        <w:rPr>
          <w:sz w:val="20"/>
          <w:szCs w:val="20"/>
          <w:lang w:eastAsia="ja-JP"/>
        </w:rPr>
        <w:t xml:space="preserve">I of </w:t>
      </w:r>
      <w:r>
        <w:rPr>
          <w:sz w:val="20"/>
          <w:szCs w:val="20"/>
          <w:lang w:eastAsia="ja-JP"/>
        </w:rPr>
        <w:t>“</w:t>
      </w:r>
      <w:r w:rsidRPr="00DA0358">
        <w:rPr>
          <w:sz w:val="20"/>
          <w:szCs w:val="20"/>
          <w:lang w:eastAsia="ja-JP"/>
        </w:rPr>
        <w:t>Study on evolution of NR duplex operation</w:t>
      </w:r>
      <w:r>
        <w:rPr>
          <w:sz w:val="20"/>
          <w:szCs w:val="20"/>
          <w:lang w:eastAsia="ja-JP"/>
        </w:rPr>
        <w:t>”</w:t>
      </w:r>
      <w:r w:rsidRPr="00DA0358">
        <w:rPr>
          <w:sz w:val="20"/>
          <w:szCs w:val="20"/>
          <w:lang w:eastAsia="ja-JP"/>
        </w:rPr>
        <w:t xml:space="preserve"> </w:t>
      </w:r>
      <w:r w:rsidR="008E112D" w:rsidRPr="00C2427F">
        <w:rPr>
          <w:sz w:val="20"/>
          <w:szCs w:val="20"/>
          <w:lang w:eastAsia="ja-JP"/>
        </w:rPr>
        <w:t xml:space="preserve">was </w:t>
      </w:r>
      <w:r>
        <w:rPr>
          <w:sz w:val="20"/>
          <w:szCs w:val="20"/>
          <w:lang w:eastAsia="ja-JP"/>
        </w:rPr>
        <w:t xml:space="preserve">recently </w:t>
      </w:r>
      <w:r w:rsidR="008E112D" w:rsidRPr="00C2427F">
        <w:rPr>
          <w:sz w:val="20"/>
          <w:szCs w:val="20"/>
          <w:lang w:eastAsia="ja-JP"/>
        </w:rPr>
        <w:t>approved [1]</w:t>
      </w:r>
      <w:r>
        <w:rPr>
          <w:sz w:val="20"/>
          <w:szCs w:val="20"/>
          <w:lang w:eastAsia="ja-JP"/>
        </w:rPr>
        <w:t>, i</w:t>
      </w:r>
      <w:r w:rsidR="008E112D" w:rsidRPr="00C2427F">
        <w:rPr>
          <w:sz w:val="20"/>
          <w:szCs w:val="20"/>
          <w:lang w:eastAsia="ja-JP"/>
        </w:rPr>
        <w:t xml:space="preserve">n which </w:t>
      </w:r>
      <w:r w:rsidR="0031539C">
        <w:rPr>
          <w:sz w:val="20"/>
          <w:szCs w:val="20"/>
          <w:lang w:eastAsia="ja-JP"/>
        </w:rPr>
        <w:t>there is an objective copied below:</w:t>
      </w:r>
    </w:p>
    <w:p w14:paraId="5BC61EEA" w14:textId="692FB656" w:rsidR="0031539C" w:rsidRPr="0031539C" w:rsidRDefault="0031539C" w:rsidP="004C21DF">
      <w:pPr>
        <w:spacing w:before="100" w:beforeAutospacing="1" w:after="100" w:afterAutospacing="1"/>
        <w:rPr>
          <w:i/>
          <w:iCs/>
          <w:sz w:val="20"/>
          <w:szCs w:val="20"/>
        </w:rPr>
      </w:pPr>
      <w:r w:rsidRPr="0031539C">
        <w:rPr>
          <w:i/>
          <w:iCs/>
          <w:sz w:val="20"/>
          <w:szCs w:val="20"/>
        </w:rPr>
        <w:t>-</w:t>
      </w:r>
      <w:r w:rsidRPr="0031539C">
        <w:rPr>
          <w:i/>
          <w:iCs/>
          <w:sz w:val="20"/>
          <w:szCs w:val="20"/>
        </w:rPr>
        <w:tab/>
        <w:t xml:space="preserve">Summarize the regulatory aspects that </w:t>
      </w:r>
      <w:proofErr w:type="gramStart"/>
      <w:r w:rsidRPr="0031539C">
        <w:rPr>
          <w:i/>
          <w:iCs/>
          <w:sz w:val="20"/>
          <w:szCs w:val="20"/>
        </w:rPr>
        <w:t>have to</w:t>
      </w:r>
      <w:proofErr w:type="gramEnd"/>
      <w:r w:rsidRPr="0031539C">
        <w:rPr>
          <w:i/>
          <w:iCs/>
          <w:sz w:val="20"/>
          <w:szCs w:val="20"/>
        </w:rPr>
        <w:t xml:space="preserve"> be considered for deploying the identified duplex enhancements in TDD unpaired spectrum (RAN4).</w:t>
      </w:r>
    </w:p>
    <w:p w14:paraId="454200A4" w14:textId="4FBFD4A9" w:rsidR="00112A20" w:rsidRPr="00C2427F" w:rsidRDefault="007136CC" w:rsidP="004C21DF">
      <w:pPr>
        <w:spacing w:before="100" w:beforeAutospacing="1" w:after="100" w:afterAutospacing="1"/>
      </w:pPr>
      <w:r>
        <w:rPr>
          <w:sz w:val="20"/>
          <w:szCs w:val="20"/>
        </w:rPr>
        <w:t xml:space="preserve">In this contribution, we </w:t>
      </w:r>
      <w:r w:rsidR="00F63709" w:rsidRPr="00C2427F">
        <w:rPr>
          <w:sz w:val="20"/>
          <w:szCs w:val="20"/>
        </w:rPr>
        <w:t xml:space="preserve">share our views on </w:t>
      </w:r>
      <w:r w:rsidR="0031539C">
        <w:rPr>
          <w:sz w:val="20"/>
          <w:szCs w:val="20"/>
        </w:rPr>
        <w:t>this topic</w:t>
      </w:r>
      <w:r w:rsidR="00F63709" w:rsidRPr="00C2427F">
        <w:rPr>
          <w:sz w:val="20"/>
          <w:szCs w:val="20"/>
        </w:rPr>
        <w:t>.</w:t>
      </w:r>
      <w:r w:rsidR="004C21DF" w:rsidRPr="00C2427F">
        <w:rPr>
          <w:sz w:val="20"/>
          <w:szCs w:val="20"/>
        </w:rPr>
        <w:t xml:space="preserve"> </w:t>
      </w:r>
    </w:p>
    <w:p w14:paraId="42E3FB41" w14:textId="5877308A" w:rsidR="004C5265" w:rsidRPr="00C2427F" w:rsidRDefault="008E7986" w:rsidP="005037D3">
      <w:pPr>
        <w:pStyle w:val="Heading1"/>
      </w:pPr>
      <w:r w:rsidRPr="00C2427F">
        <w:t>2</w:t>
      </w:r>
      <w:r w:rsidRPr="00C2427F">
        <w:tab/>
      </w:r>
      <w:r w:rsidR="0077432F" w:rsidRPr="00C2427F">
        <w:t>Discussion</w:t>
      </w:r>
    </w:p>
    <w:p w14:paraId="74BF7BA2" w14:textId="77777777" w:rsidR="00915891" w:rsidRDefault="00915891" w:rsidP="00915891">
      <w:pPr>
        <w:pStyle w:val="Heading2"/>
        <w:rPr>
          <w:rFonts w:ascii="Times New Roman" w:hAnsi="Times New Roman"/>
          <w:color w:val="000000"/>
          <w:sz w:val="20"/>
          <w:lang w:val="en-US" w:eastAsia="zh-CN"/>
        </w:rPr>
      </w:pPr>
      <w:r>
        <w:rPr>
          <w:rFonts w:ascii="Times New Roman" w:hAnsi="Times New Roman"/>
          <w:color w:val="000000"/>
          <w:sz w:val="20"/>
          <w:lang w:val="en-US" w:eastAsia="zh-CN"/>
        </w:rPr>
        <w:t>This SI assumes the following</w:t>
      </w:r>
      <w:r w:rsidRPr="00915891">
        <w:rPr>
          <w:rFonts w:ascii="Times New Roman" w:hAnsi="Times New Roman"/>
          <w:color w:val="000000"/>
          <w:sz w:val="20"/>
          <w:lang w:val="en-US" w:eastAsia="zh-CN"/>
        </w:rPr>
        <w:t>:</w:t>
      </w:r>
    </w:p>
    <w:p w14:paraId="4E725B96" w14:textId="77777777" w:rsidR="00915891" w:rsidRDefault="00915891" w:rsidP="00915891">
      <w:pPr>
        <w:pStyle w:val="Heading2"/>
        <w:numPr>
          <w:ilvl w:val="0"/>
          <w:numId w:val="44"/>
        </w:numPr>
        <w:spacing w:before="60" w:after="60"/>
        <w:rPr>
          <w:rFonts w:ascii="Times New Roman" w:hAnsi="Times New Roman"/>
          <w:color w:val="000000"/>
          <w:sz w:val="20"/>
          <w:lang w:val="en-US" w:eastAsia="zh-CN"/>
        </w:rPr>
      </w:pPr>
      <w:r w:rsidRPr="00915891">
        <w:rPr>
          <w:rFonts w:ascii="Times New Roman" w:hAnsi="Times New Roman"/>
          <w:color w:val="000000"/>
          <w:sz w:val="20"/>
          <w:lang w:val="en-US" w:eastAsia="zh-CN"/>
        </w:rPr>
        <w:t xml:space="preserve">Duplex enhancement at the </w:t>
      </w:r>
      <w:proofErr w:type="spellStart"/>
      <w:r w:rsidRPr="00915891">
        <w:rPr>
          <w:rFonts w:ascii="Times New Roman" w:hAnsi="Times New Roman"/>
          <w:color w:val="000000"/>
          <w:sz w:val="20"/>
          <w:lang w:val="en-US" w:eastAsia="zh-CN"/>
        </w:rPr>
        <w:t>gNB</w:t>
      </w:r>
      <w:proofErr w:type="spellEnd"/>
      <w:r w:rsidRPr="00915891">
        <w:rPr>
          <w:rFonts w:ascii="Times New Roman" w:hAnsi="Times New Roman"/>
          <w:color w:val="000000"/>
          <w:sz w:val="20"/>
          <w:lang w:val="en-US" w:eastAsia="zh-CN"/>
        </w:rPr>
        <w:t xml:space="preserve"> side</w:t>
      </w:r>
    </w:p>
    <w:p w14:paraId="2108F26A" w14:textId="77777777" w:rsidR="00915891" w:rsidRDefault="00915891" w:rsidP="00915891">
      <w:pPr>
        <w:pStyle w:val="Heading2"/>
        <w:numPr>
          <w:ilvl w:val="0"/>
          <w:numId w:val="44"/>
        </w:numPr>
        <w:spacing w:before="60" w:after="60"/>
        <w:rPr>
          <w:rFonts w:ascii="Times New Roman" w:hAnsi="Times New Roman"/>
          <w:color w:val="000000"/>
          <w:sz w:val="20"/>
          <w:lang w:val="en-US" w:eastAsia="zh-CN"/>
        </w:rPr>
      </w:pPr>
      <w:r w:rsidRPr="00915891">
        <w:rPr>
          <w:rFonts w:ascii="Times New Roman" w:hAnsi="Times New Roman"/>
          <w:color w:val="000000"/>
          <w:sz w:val="20"/>
          <w:lang w:val="en-US" w:eastAsia="zh-CN"/>
        </w:rPr>
        <w:t>Half duplex operation at the UE side</w:t>
      </w:r>
    </w:p>
    <w:p w14:paraId="364370A0" w14:textId="14306E6C" w:rsidR="00A77534" w:rsidRPr="00A77534" w:rsidRDefault="00915891" w:rsidP="00915891">
      <w:pPr>
        <w:pStyle w:val="Heading2"/>
        <w:numPr>
          <w:ilvl w:val="0"/>
          <w:numId w:val="44"/>
        </w:numPr>
        <w:spacing w:before="60" w:after="60"/>
        <w:rPr>
          <w:rFonts w:ascii="Times New Roman" w:hAnsi="Times New Roman"/>
          <w:color w:val="000000"/>
          <w:sz w:val="20"/>
          <w:lang w:val="en-US" w:eastAsia="zh-CN"/>
        </w:rPr>
      </w:pPr>
      <w:r w:rsidRPr="00915891">
        <w:rPr>
          <w:rFonts w:ascii="Times New Roman" w:hAnsi="Times New Roman"/>
          <w:color w:val="000000"/>
          <w:sz w:val="20"/>
          <w:lang w:val="en-US" w:eastAsia="zh-CN"/>
        </w:rPr>
        <w:t>No restriction on frequency ranges</w:t>
      </w:r>
    </w:p>
    <w:p w14:paraId="3D5954BD" w14:textId="2714ACD4" w:rsidR="009433B6" w:rsidRDefault="009433B6" w:rsidP="00A77534">
      <w:pPr>
        <w:autoSpaceDE w:val="0"/>
        <w:autoSpaceDN w:val="0"/>
        <w:adjustRightInd w:val="0"/>
        <w:jc w:val="both"/>
        <w:rPr>
          <w:color w:val="000000"/>
          <w:sz w:val="20"/>
          <w:szCs w:val="20"/>
        </w:rPr>
      </w:pPr>
    </w:p>
    <w:p w14:paraId="3EAE5DF0" w14:textId="5540DF66" w:rsidR="00A77534" w:rsidRDefault="00F82012" w:rsidP="00B10171">
      <w:pPr>
        <w:autoSpaceDE w:val="0"/>
        <w:autoSpaceDN w:val="0"/>
        <w:adjustRightInd w:val="0"/>
        <w:jc w:val="both"/>
        <w:rPr>
          <w:color w:val="000000"/>
          <w:sz w:val="20"/>
          <w:szCs w:val="20"/>
        </w:rPr>
      </w:pPr>
      <w:r>
        <w:rPr>
          <w:color w:val="000000"/>
          <w:sz w:val="20"/>
          <w:szCs w:val="20"/>
        </w:rPr>
        <w:t>T</w:t>
      </w:r>
      <w:r w:rsidR="00915891">
        <w:rPr>
          <w:color w:val="000000"/>
          <w:sz w:val="20"/>
          <w:szCs w:val="20"/>
        </w:rPr>
        <w:t xml:space="preserve">he main difference as compared to traditional TDD operation is </w:t>
      </w:r>
      <w:proofErr w:type="spellStart"/>
      <w:r>
        <w:rPr>
          <w:color w:val="000000"/>
          <w:sz w:val="20"/>
          <w:szCs w:val="20"/>
        </w:rPr>
        <w:t>gNB</w:t>
      </w:r>
      <w:proofErr w:type="spellEnd"/>
      <w:r>
        <w:rPr>
          <w:color w:val="000000"/>
          <w:sz w:val="20"/>
          <w:szCs w:val="20"/>
        </w:rPr>
        <w:t xml:space="preserve"> will have simultaneous transmission and reception on a channel. </w:t>
      </w:r>
      <w:proofErr w:type="gramStart"/>
      <w:r>
        <w:rPr>
          <w:color w:val="000000"/>
          <w:sz w:val="20"/>
          <w:szCs w:val="20"/>
        </w:rPr>
        <w:t>So</w:t>
      </w:r>
      <w:proofErr w:type="gramEnd"/>
      <w:r>
        <w:rPr>
          <w:color w:val="000000"/>
          <w:sz w:val="20"/>
          <w:szCs w:val="20"/>
        </w:rPr>
        <w:t xml:space="preserve"> when RAN4 summarizes the regulatory aspects, a focus should be to find out if there is any regulations that limits such simultaneous TX and RX by a </w:t>
      </w:r>
      <w:proofErr w:type="spellStart"/>
      <w:r>
        <w:rPr>
          <w:color w:val="000000"/>
          <w:sz w:val="20"/>
          <w:szCs w:val="20"/>
        </w:rPr>
        <w:t>gNB</w:t>
      </w:r>
      <w:proofErr w:type="spellEnd"/>
      <w:r>
        <w:rPr>
          <w:color w:val="000000"/>
          <w:sz w:val="20"/>
          <w:szCs w:val="20"/>
        </w:rPr>
        <w:t xml:space="preserve"> on TDD spectrum. </w:t>
      </w:r>
    </w:p>
    <w:p w14:paraId="5BBFE545" w14:textId="59053CD8" w:rsidR="003E1569" w:rsidRDefault="003E1569" w:rsidP="00B10171">
      <w:pPr>
        <w:autoSpaceDE w:val="0"/>
        <w:autoSpaceDN w:val="0"/>
        <w:adjustRightInd w:val="0"/>
        <w:jc w:val="both"/>
        <w:rPr>
          <w:color w:val="000000"/>
          <w:sz w:val="20"/>
          <w:szCs w:val="20"/>
        </w:rPr>
      </w:pPr>
    </w:p>
    <w:p w14:paraId="367AA52B" w14:textId="38ECA2BF" w:rsidR="00F82012" w:rsidRPr="00C2427F" w:rsidRDefault="00F82012" w:rsidP="00F82012">
      <w:pPr>
        <w:spacing w:before="100" w:beforeAutospacing="1" w:after="100"/>
        <w:rPr>
          <w:b/>
          <w:bCs/>
          <w:i/>
          <w:iCs/>
          <w:sz w:val="20"/>
          <w:szCs w:val="20"/>
        </w:rPr>
      </w:pPr>
      <w:r>
        <w:rPr>
          <w:b/>
          <w:bCs/>
          <w:i/>
          <w:iCs/>
          <w:sz w:val="20"/>
          <w:szCs w:val="20"/>
        </w:rPr>
        <w:t>Observation</w:t>
      </w:r>
      <w:r w:rsidRPr="00C2427F">
        <w:rPr>
          <w:b/>
          <w:bCs/>
          <w:i/>
          <w:iCs/>
          <w:sz w:val="20"/>
          <w:szCs w:val="20"/>
        </w:rPr>
        <w:t xml:space="preserve"> 1: </w:t>
      </w:r>
      <w:r>
        <w:rPr>
          <w:b/>
          <w:bCs/>
          <w:i/>
          <w:iCs/>
          <w:sz w:val="20"/>
          <w:szCs w:val="20"/>
        </w:rPr>
        <w:t xml:space="preserve">The focus of RAN4 </w:t>
      </w:r>
      <w:r w:rsidR="00AD6276">
        <w:rPr>
          <w:b/>
          <w:bCs/>
          <w:i/>
          <w:iCs/>
          <w:sz w:val="20"/>
          <w:szCs w:val="20"/>
        </w:rPr>
        <w:t xml:space="preserve">task </w:t>
      </w:r>
      <w:r w:rsidR="00F01EB2">
        <w:rPr>
          <w:b/>
          <w:bCs/>
          <w:i/>
          <w:iCs/>
          <w:sz w:val="20"/>
          <w:szCs w:val="20"/>
        </w:rPr>
        <w:t xml:space="preserve">of summarizing the regulatory aspects </w:t>
      </w:r>
      <w:r>
        <w:rPr>
          <w:b/>
          <w:bCs/>
          <w:i/>
          <w:iCs/>
          <w:sz w:val="20"/>
          <w:szCs w:val="20"/>
        </w:rPr>
        <w:t xml:space="preserve">is to </w:t>
      </w:r>
      <w:r w:rsidRPr="00F82012">
        <w:rPr>
          <w:b/>
          <w:bCs/>
          <w:i/>
          <w:iCs/>
          <w:sz w:val="20"/>
          <w:szCs w:val="20"/>
        </w:rPr>
        <w:t xml:space="preserve">find out if there is any regulation that limits such simultaneous TX and RX by a </w:t>
      </w:r>
      <w:proofErr w:type="spellStart"/>
      <w:r w:rsidRPr="00F82012">
        <w:rPr>
          <w:b/>
          <w:bCs/>
          <w:i/>
          <w:iCs/>
          <w:sz w:val="20"/>
          <w:szCs w:val="20"/>
        </w:rPr>
        <w:t>gNB</w:t>
      </w:r>
      <w:proofErr w:type="spellEnd"/>
      <w:r w:rsidRPr="00F82012">
        <w:rPr>
          <w:b/>
          <w:bCs/>
          <w:i/>
          <w:iCs/>
          <w:sz w:val="20"/>
          <w:szCs w:val="20"/>
        </w:rPr>
        <w:t xml:space="preserve"> on TDD spectrum</w:t>
      </w:r>
      <w:r w:rsidRPr="00C2427F">
        <w:rPr>
          <w:b/>
          <w:bCs/>
          <w:i/>
          <w:iCs/>
          <w:sz w:val="20"/>
          <w:szCs w:val="20"/>
        </w:rPr>
        <w:t xml:space="preserve">. </w:t>
      </w:r>
    </w:p>
    <w:p w14:paraId="38FBFF37" w14:textId="00DC9FAA" w:rsidR="00F82012" w:rsidRDefault="00F82012" w:rsidP="00B10171">
      <w:pPr>
        <w:autoSpaceDE w:val="0"/>
        <w:autoSpaceDN w:val="0"/>
        <w:adjustRightInd w:val="0"/>
        <w:jc w:val="both"/>
        <w:rPr>
          <w:color w:val="000000"/>
          <w:sz w:val="20"/>
          <w:szCs w:val="20"/>
        </w:rPr>
      </w:pPr>
    </w:p>
    <w:p w14:paraId="2AE5DF60" w14:textId="7210A942" w:rsidR="0052522E" w:rsidRDefault="0052522E" w:rsidP="00B10171">
      <w:pPr>
        <w:autoSpaceDE w:val="0"/>
        <w:autoSpaceDN w:val="0"/>
        <w:adjustRightInd w:val="0"/>
        <w:jc w:val="both"/>
        <w:rPr>
          <w:color w:val="000000"/>
          <w:sz w:val="20"/>
          <w:szCs w:val="20"/>
        </w:rPr>
      </w:pPr>
      <w:r w:rsidRPr="0052522E">
        <w:rPr>
          <w:color w:val="000000"/>
          <w:sz w:val="20"/>
          <w:szCs w:val="20"/>
        </w:rPr>
        <w:t>In R13, there was a RAN-level SI (RP-150470) “Study on regulatory aspects for flexible duplex for E-UTRAN”, whose objectives are “Identify and document potential regional/band-specific regulatory possibilities/constraints for the use cases of utilizing UL spectrum for transmission from the network to UEs, including aspects such as Tx power levels, modulation schemes, type of transmitting nodes, etc.”</w:t>
      </w:r>
      <w:r>
        <w:rPr>
          <w:color w:val="000000"/>
          <w:sz w:val="20"/>
          <w:szCs w:val="20"/>
        </w:rPr>
        <w:t xml:space="preserve"> While the focus is different, it does provide some good info that helps understand the relevant regulations</w:t>
      </w:r>
      <w:r w:rsidR="0068504F">
        <w:rPr>
          <w:color w:val="000000"/>
          <w:sz w:val="20"/>
          <w:szCs w:val="20"/>
        </w:rPr>
        <w:t xml:space="preserve"> in the </w:t>
      </w:r>
      <w:r w:rsidR="0068504F" w:rsidRPr="0068504F">
        <w:rPr>
          <w:color w:val="000000"/>
          <w:sz w:val="20"/>
          <w:szCs w:val="20"/>
        </w:rPr>
        <w:t>TR 36.882</w:t>
      </w:r>
      <w:r w:rsidR="0068504F">
        <w:rPr>
          <w:color w:val="000000"/>
          <w:sz w:val="20"/>
          <w:szCs w:val="20"/>
        </w:rPr>
        <w:t xml:space="preserve"> [2]</w:t>
      </w:r>
      <w:r>
        <w:rPr>
          <w:color w:val="000000"/>
          <w:sz w:val="20"/>
          <w:szCs w:val="20"/>
        </w:rPr>
        <w:t>.</w:t>
      </w:r>
      <w:r w:rsidR="00B6369D">
        <w:rPr>
          <w:color w:val="000000"/>
          <w:sz w:val="20"/>
          <w:szCs w:val="20"/>
        </w:rPr>
        <w:t xml:space="preserve"> For example, FCC shares its thinking as copied below</w:t>
      </w:r>
    </w:p>
    <w:p w14:paraId="0A4D17BF" w14:textId="77777777" w:rsidR="00B6369D" w:rsidRDefault="00B6369D" w:rsidP="00B6369D">
      <w:pPr>
        <w:rPr>
          <w:color w:val="000000"/>
          <w:sz w:val="20"/>
          <w:szCs w:val="20"/>
        </w:rPr>
      </w:pPr>
    </w:p>
    <w:p w14:paraId="043A4DC1" w14:textId="61DB3D42" w:rsidR="00B6369D" w:rsidRPr="00B6369D" w:rsidRDefault="00B6369D" w:rsidP="00B6369D">
      <w:pPr>
        <w:rPr>
          <w:i/>
          <w:iCs/>
        </w:rPr>
      </w:pPr>
      <w:r w:rsidRPr="00B6369D">
        <w:rPr>
          <w:i/>
          <w:iCs/>
          <w:color w:val="000000"/>
          <w:sz w:val="20"/>
          <w:szCs w:val="20"/>
        </w:rPr>
        <w:t>“</w:t>
      </w:r>
      <w:r w:rsidRPr="00B6369D">
        <w:rPr>
          <w:i/>
          <w:iCs/>
        </w:rPr>
        <w:t>As shown in this table, in many cases our rules do not refer directly to downlink or uplink but rather specify types of stations such as fixed, base, portable, control, and mobile.  The designation of the type of station is one tool the FCC uses to promote compatibility of various spectrum uses.  For each case the transmission power and emissions limit – and in some cases antenna height and other band specific factors – are also captured in the rules.</w:t>
      </w:r>
      <w:r w:rsidRPr="00B6369D">
        <w:rPr>
          <w:i/>
          <w:iCs/>
          <w:color w:val="000000"/>
          <w:sz w:val="20"/>
          <w:szCs w:val="20"/>
        </w:rPr>
        <w:t>”</w:t>
      </w:r>
    </w:p>
    <w:p w14:paraId="75D9630B" w14:textId="12925687" w:rsidR="003E1569" w:rsidRDefault="003E1569" w:rsidP="00E613FA">
      <w:pPr>
        <w:autoSpaceDE w:val="0"/>
        <w:autoSpaceDN w:val="0"/>
        <w:adjustRightInd w:val="0"/>
        <w:jc w:val="center"/>
        <w:rPr>
          <w:color w:val="000000"/>
          <w:sz w:val="20"/>
          <w:szCs w:val="20"/>
        </w:rPr>
      </w:pPr>
    </w:p>
    <w:p w14:paraId="370734AC" w14:textId="2048A99E" w:rsidR="00E40560" w:rsidRPr="00C2427F" w:rsidRDefault="00B6369D" w:rsidP="00B10171">
      <w:pPr>
        <w:autoSpaceDE w:val="0"/>
        <w:autoSpaceDN w:val="0"/>
        <w:adjustRightInd w:val="0"/>
        <w:jc w:val="both"/>
        <w:rPr>
          <w:color w:val="000000"/>
          <w:sz w:val="20"/>
          <w:szCs w:val="20"/>
        </w:rPr>
      </w:pPr>
      <w:r>
        <w:rPr>
          <w:color w:val="000000"/>
          <w:sz w:val="20"/>
          <w:szCs w:val="20"/>
        </w:rPr>
        <w:t xml:space="preserve">Furthermore, we would like to note that during that SI, direct liaison with various regulators was used to seek first-hand info/clarification. This work method </w:t>
      </w:r>
      <w:r w:rsidR="00F9406D">
        <w:rPr>
          <w:color w:val="000000"/>
          <w:sz w:val="20"/>
          <w:szCs w:val="20"/>
        </w:rPr>
        <w:t xml:space="preserve">would be useful to RAN4 if any such need arises during the discussion. </w:t>
      </w:r>
    </w:p>
    <w:p w14:paraId="5F00AFC8" w14:textId="598EE2AD" w:rsidR="00E40560" w:rsidRPr="00C2427F" w:rsidRDefault="00E40560" w:rsidP="00E40560">
      <w:pPr>
        <w:spacing w:before="100" w:beforeAutospacing="1" w:after="100"/>
        <w:rPr>
          <w:b/>
          <w:bCs/>
          <w:i/>
          <w:iCs/>
          <w:sz w:val="20"/>
          <w:szCs w:val="20"/>
        </w:rPr>
      </w:pPr>
      <w:r w:rsidRPr="00C2427F">
        <w:rPr>
          <w:b/>
          <w:bCs/>
          <w:i/>
          <w:iCs/>
          <w:sz w:val="20"/>
          <w:szCs w:val="20"/>
        </w:rPr>
        <w:t xml:space="preserve">Proposal 1: </w:t>
      </w:r>
      <w:r w:rsidR="00F9406D">
        <w:rPr>
          <w:b/>
          <w:bCs/>
          <w:i/>
          <w:iCs/>
          <w:sz w:val="20"/>
          <w:szCs w:val="20"/>
        </w:rPr>
        <w:t>If</w:t>
      </w:r>
      <w:r w:rsidR="00B6369D" w:rsidRPr="00B6369D">
        <w:rPr>
          <w:b/>
          <w:bCs/>
          <w:i/>
          <w:iCs/>
          <w:sz w:val="20"/>
          <w:szCs w:val="20"/>
        </w:rPr>
        <w:t xml:space="preserve"> needed, consider using </w:t>
      </w:r>
      <w:r w:rsidR="00F9406D">
        <w:rPr>
          <w:b/>
          <w:bCs/>
          <w:i/>
          <w:iCs/>
          <w:sz w:val="20"/>
          <w:szCs w:val="20"/>
        </w:rPr>
        <w:t xml:space="preserve">direct liaison with </w:t>
      </w:r>
      <w:r w:rsidR="00B6369D" w:rsidRPr="00B6369D">
        <w:rPr>
          <w:b/>
          <w:bCs/>
          <w:i/>
          <w:iCs/>
          <w:sz w:val="20"/>
          <w:szCs w:val="20"/>
        </w:rPr>
        <w:t>regulatory bodies to obtain relevant regulatory info/clarification.</w:t>
      </w:r>
      <w:r w:rsidR="003348D2" w:rsidRPr="00C2427F">
        <w:rPr>
          <w:b/>
          <w:bCs/>
          <w:i/>
          <w:iCs/>
          <w:sz w:val="20"/>
          <w:szCs w:val="20"/>
        </w:rPr>
        <w:t xml:space="preserve"> </w:t>
      </w:r>
    </w:p>
    <w:p w14:paraId="5C44D1F6" w14:textId="430382D3" w:rsidR="00947ADF" w:rsidRDefault="00947ADF" w:rsidP="00B10171">
      <w:pPr>
        <w:autoSpaceDE w:val="0"/>
        <w:autoSpaceDN w:val="0"/>
        <w:adjustRightInd w:val="0"/>
        <w:jc w:val="both"/>
        <w:rPr>
          <w:color w:val="000000"/>
          <w:sz w:val="20"/>
          <w:szCs w:val="20"/>
        </w:rPr>
      </w:pPr>
    </w:p>
    <w:p w14:paraId="34C99636" w14:textId="77777777" w:rsidR="008E7986" w:rsidRPr="00C2427F" w:rsidRDefault="008E7986" w:rsidP="008E7986">
      <w:pPr>
        <w:pStyle w:val="Heading1"/>
      </w:pPr>
      <w:r w:rsidRPr="00C2427F">
        <w:lastRenderedPageBreak/>
        <w:t>3</w:t>
      </w:r>
      <w:r w:rsidRPr="00C2427F">
        <w:tab/>
        <w:t>Conclusions</w:t>
      </w:r>
    </w:p>
    <w:p w14:paraId="6F3027FC" w14:textId="2EBC1779" w:rsidR="00300BA9" w:rsidRPr="00C2427F" w:rsidRDefault="00B61EEA" w:rsidP="00300BA9">
      <w:pPr>
        <w:rPr>
          <w:sz w:val="20"/>
          <w:szCs w:val="20"/>
        </w:rPr>
      </w:pPr>
      <w:r w:rsidRPr="00C2427F">
        <w:rPr>
          <w:sz w:val="20"/>
          <w:szCs w:val="20"/>
        </w:rPr>
        <w:t xml:space="preserve">In this contribution, </w:t>
      </w:r>
      <w:r w:rsidR="00A91EAD" w:rsidRPr="00C2427F">
        <w:rPr>
          <w:sz w:val="20"/>
          <w:szCs w:val="20"/>
        </w:rPr>
        <w:t xml:space="preserve">we </w:t>
      </w:r>
      <w:r w:rsidR="00AF76EA" w:rsidRPr="00C2427F">
        <w:rPr>
          <w:sz w:val="20"/>
          <w:szCs w:val="20"/>
        </w:rPr>
        <w:t xml:space="preserve">make </w:t>
      </w:r>
      <w:r w:rsidR="00A91EAD" w:rsidRPr="00C2427F">
        <w:rPr>
          <w:sz w:val="20"/>
          <w:szCs w:val="20"/>
        </w:rPr>
        <w:t>the following proposal</w:t>
      </w:r>
      <w:r w:rsidR="00F61745" w:rsidRPr="00C2427F">
        <w:rPr>
          <w:sz w:val="20"/>
          <w:szCs w:val="20"/>
        </w:rPr>
        <w:t>s</w:t>
      </w:r>
      <w:r w:rsidR="00E50FFC">
        <w:rPr>
          <w:sz w:val="20"/>
          <w:szCs w:val="20"/>
        </w:rPr>
        <w:t>:</w:t>
      </w:r>
    </w:p>
    <w:p w14:paraId="1238CB5B" w14:textId="77777777" w:rsidR="00E97D21" w:rsidRPr="00C2427F" w:rsidRDefault="00E97D21" w:rsidP="00E97D21">
      <w:pPr>
        <w:spacing w:before="100" w:beforeAutospacing="1" w:after="100"/>
        <w:rPr>
          <w:b/>
          <w:bCs/>
          <w:i/>
          <w:iCs/>
          <w:sz w:val="20"/>
          <w:szCs w:val="20"/>
        </w:rPr>
      </w:pPr>
      <w:r>
        <w:rPr>
          <w:b/>
          <w:bCs/>
          <w:i/>
          <w:iCs/>
          <w:sz w:val="20"/>
          <w:szCs w:val="20"/>
        </w:rPr>
        <w:t>Observation</w:t>
      </w:r>
      <w:r w:rsidRPr="00C2427F">
        <w:rPr>
          <w:b/>
          <w:bCs/>
          <w:i/>
          <w:iCs/>
          <w:sz w:val="20"/>
          <w:szCs w:val="20"/>
        </w:rPr>
        <w:t xml:space="preserve"> 1: </w:t>
      </w:r>
      <w:r>
        <w:rPr>
          <w:b/>
          <w:bCs/>
          <w:i/>
          <w:iCs/>
          <w:sz w:val="20"/>
          <w:szCs w:val="20"/>
        </w:rPr>
        <w:t xml:space="preserve">The focus of RAN4 task of summarizing the regulatory aspects is to </w:t>
      </w:r>
      <w:r w:rsidRPr="00F82012">
        <w:rPr>
          <w:b/>
          <w:bCs/>
          <w:i/>
          <w:iCs/>
          <w:sz w:val="20"/>
          <w:szCs w:val="20"/>
        </w:rPr>
        <w:t xml:space="preserve">find out if there is any regulation that limits such simultaneous TX and RX by a </w:t>
      </w:r>
      <w:proofErr w:type="spellStart"/>
      <w:r w:rsidRPr="00F82012">
        <w:rPr>
          <w:b/>
          <w:bCs/>
          <w:i/>
          <w:iCs/>
          <w:sz w:val="20"/>
          <w:szCs w:val="20"/>
        </w:rPr>
        <w:t>gNB</w:t>
      </w:r>
      <w:proofErr w:type="spellEnd"/>
      <w:r w:rsidRPr="00F82012">
        <w:rPr>
          <w:b/>
          <w:bCs/>
          <w:i/>
          <w:iCs/>
          <w:sz w:val="20"/>
          <w:szCs w:val="20"/>
        </w:rPr>
        <w:t xml:space="preserve"> on TDD spectrum</w:t>
      </w:r>
      <w:r w:rsidRPr="00C2427F">
        <w:rPr>
          <w:b/>
          <w:bCs/>
          <w:i/>
          <w:iCs/>
          <w:sz w:val="20"/>
          <w:szCs w:val="20"/>
        </w:rPr>
        <w:t xml:space="preserve">. </w:t>
      </w:r>
    </w:p>
    <w:p w14:paraId="42AAB507" w14:textId="77777777" w:rsidR="00E97D21" w:rsidRPr="00C2427F" w:rsidRDefault="00E97D21" w:rsidP="00E97D21">
      <w:pPr>
        <w:spacing w:before="100" w:beforeAutospacing="1" w:after="100"/>
        <w:rPr>
          <w:b/>
          <w:bCs/>
          <w:i/>
          <w:iCs/>
          <w:sz w:val="20"/>
          <w:szCs w:val="20"/>
        </w:rPr>
      </w:pPr>
      <w:r w:rsidRPr="00C2427F">
        <w:rPr>
          <w:b/>
          <w:bCs/>
          <w:i/>
          <w:iCs/>
          <w:sz w:val="20"/>
          <w:szCs w:val="20"/>
        </w:rPr>
        <w:t xml:space="preserve">Proposal 1: </w:t>
      </w:r>
      <w:r>
        <w:rPr>
          <w:b/>
          <w:bCs/>
          <w:i/>
          <w:iCs/>
          <w:sz w:val="20"/>
          <w:szCs w:val="20"/>
        </w:rPr>
        <w:t>If</w:t>
      </w:r>
      <w:r w:rsidRPr="00B6369D">
        <w:rPr>
          <w:b/>
          <w:bCs/>
          <w:i/>
          <w:iCs/>
          <w:sz w:val="20"/>
          <w:szCs w:val="20"/>
        </w:rPr>
        <w:t xml:space="preserve"> needed, consider using </w:t>
      </w:r>
      <w:r>
        <w:rPr>
          <w:b/>
          <w:bCs/>
          <w:i/>
          <w:iCs/>
          <w:sz w:val="20"/>
          <w:szCs w:val="20"/>
        </w:rPr>
        <w:t xml:space="preserve">direct liaison with </w:t>
      </w:r>
      <w:r w:rsidRPr="00B6369D">
        <w:rPr>
          <w:b/>
          <w:bCs/>
          <w:i/>
          <w:iCs/>
          <w:sz w:val="20"/>
          <w:szCs w:val="20"/>
        </w:rPr>
        <w:t>regulatory bodies to obtain relevant regulatory info/clarification.</w:t>
      </w:r>
      <w:r w:rsidRPr="00C2427F">
        <w:rPr>
          <w:b/>
          <w:bCs/>
          <w:i/>
          <w:iCs/>
          <w:sz w:val="20"/>
          <w:szCs w:val="20"/>
        </w:rPr>
        <w:t xml:space="preserve"> </w:t>
      </w:r>
    </w:p>
    <w:p w14:paraId="4D133CD8" w14:textId="4D8B9443" w:rsidR="00276EE4" w:rsidRPr="00C2427F" w:rsidRDefault="005E69AE" w:rsidP="00BC4103">
      <w:pPr>
        <w:pStyle w:val="Heading1"/>
      </w:pPr>
      <w:r w:rsidRPr="00C2427F">
        <w:t>4</w:t>
      </w:r>
      <w:r w:rsidRPr="00C2427F">
        <w:tab/>
        <w:t>References</w:t>
      </w:r>
    </w:p>
    <w:p w14:paraId="10335E92" w14:textId="798EC373" w:rsidR="00821AEF" w:rsidRPr="00C2427F" w:rsidRDefault="00F64730" w:rsidP="00276EE4">
      <w:pPr>
        <w:pStyle w:val="EX"/>
        <w:rPr>
          <w:sz w:val="20"/>
          <w:szCs w:val="20"/>
        </w:rPr>
      </w:pPr>
      <w:bookmarkStart w:id="3" w:name="_Ref31651909"/>
      <w:bookmarkStart w:id="4" w:name="_Ref13820109"/>
      <w:r w:rsidRPr="00C2427F">
        <w:rPr>
          <w:sz w:val="20"/>
          <w:szCs w:val="20"/>
        </w:rPr>
        <w:t>RP-220</w:t>
      </w:r>
      <w:r w:rsidR="008E112D" w:rsidRPr="00C2427F">
        <w:rPr>
          <w:sz w:val="20"/>
          <w:szCs w:val="20"/>
        </w:rPr>
        <w:t>974</w:t>
      </w:r>
      <w:r w:rsidR="00821AEF" w:rsidRPr="00C2427F">
        <w:rPr>
          <w:sz w:val="20"/>
          <w:szCs w:val="20"/>
        </w:rPr>
        <w:t>, "</w:t>
      </w:r>
      <w:r w:rsidR="00DA0358" w:rsidRPr="00DA0358">
        <w:rPr>
          <w:sz w:val="20"/>
          <w:szCs w:val="20"/>
        </w:rPr>
        <w:t>Revised SID: Study on evolution of NR duplex operation</w:t>
      </w:r>
      <w:r w:rsidR="00821AEF" w:rsidRPr="00C2427F">
        <w:rPr>
          <w:sz w:val="20"/>
          <w:szCs w:val="20"/>
        </w:rPr>
        <w:t xml:space="preserve">", </w:t>
      </w:r>
      <w:bookmarkEnd w:id="3"/>
      <w:r w:rsidR="00D03471">
        <w:rPr>
          <w:sz w:val="20"/>
          <w:szCs w:val="20"/>
        </w:rPr>
        <w:t>CMCC</w:t>
      </w:r>
    </w:p>
    <w:bookmarkEnd w:id="0"/>
    <w:bookmarkEnd w:id="4"/>
    <w:p w14:paraId="50A569BD" w14:textId="15F00E36" w:rsidR="00BC4103" w:rsidRPr="00E963C4" w:rsidRDefault="0061275B" w:rsidP="00E963C4">
      <w:pPr>
        <w:pStyle w:val="EX"/>
        <w:rPr>
          <w:sz w:val="20"/>
          <w:szCs w:val="20"/>
        </w:rPr>
      </w:pPr>
      <w:r w:rsidRPr="0061275B">
        <w:rPr>
          <w:sz w:val="20"/>
          <w:szCs w:val="20"/>
        </w:rPr>
        <w:t>TR 36.882</w:t>
      </w:r>
      <w:r w:rsidR="00D03471" w:rsidRPr="00C2427F">
        <w:rPr>
          <w:sz w:val="20"/>
          <w:szCs w:val="20"/>
        </w:rPr>
        <w:t>, "</w:t>
      </w:r>
      <w:r w:rsidRPr="0061275B">
        <w:rPr>
          <w:sz w:val="20"/>
          <w:szCs w:val="20"/>
        </w:rPr>
        <w:t>Study on regulatory aspects for flexible duplex for E-UTRAN</w:t>
      </w:r>
      <w:r w:rsidR="00D03471" w:rsidRPr="00C2427F">
        <w:rPr>
          <w:sz w:val="20"/>
          <w:szCs w:val="20"/>
        </w:rPr>
        <w:t xml:space="preserve">", </w:t>
      </w:r>
      <w:r>
        <w:rPr>
          <w:sz w:val="20"/>
          <w:szCs w:val="20"/>
        </w:rPr>
        <w:t>v13.0.0</w:t>
      </w:r>
    </w:p>
    <w:sectPr w:rsidR="00BC4103" w:rsidRPr="00E963C4"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C2238" w14:textId="77777777" w:rsidR="00D46570" w:rsidRDefault="00D46570">
      <w:r>
        <w:separator/>
      </w:r>
    </w:p>
  </w:endnote>
  <w:endnote w:type="continuationSeparator" w:id="0">
    <w:p w14:paraId="62E97120" w14:textId="77777777" w:rsidR="00D46570" w:rsidRDefault="00D4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0ABE" w14:textId="77777777" w:rsidR="00D46570" w:rsidRDefault="00D46570">
      <w:r>
        <w:separator/>
      </w:r>
    </w:p>
  </w:footnote>
  <w:footnote w:type="continuationSeparator" w:id="0">
    <w:p w14:paraId="26E6C5BC" w14:textId="77777777" w:rsidR="00D46570" w:rsidRDefault="00D46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D2993"/>
    <w:multiLevelType w:val="hybridMultilevel"/>
    <w:tmpl w:val="509CE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73505"/>
    <w:multiLevelType w:val="hybridMultilevel"/>
    <w:tmpl w:val="58788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F63A5"/>
    <w:multiLevelType w:val="hybridMultilevel"/>
    <w:tmpl w:val="F300E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7164D07"/>
    <w:multiLevelType w:val="hybridMultilevel"/>
    <w:tmpl w:val="AC9A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DA4E23"/>
    <w:multiLevelType w:val="hybridMultilevel"/>
    <w:tmpl w:val="C496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C4E02"/>
    <w:multiLevelType w:val="hybridMultilevel"/>
    <w:tmpl w:val="AED80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F2432"/>
    <w:multiLevelType w:val="multilevel"/>
    <w:tmpl w:val="F300EB1A"/>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37073"/>
    <w:multiLevelType w:val="hybridMultilevel"/>
    <w:tmpl w:val="968A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C006AA"/>
    <w:multiLevelType w:val="hybridMultilevel"/>
    <w:tmpl w:val="C1AEB5D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3"/>
  </w:num>
  <w:num w:numId="4" w16cid:durableId="671496524">
    <w:abstractNumId w:val="32"/>
  </w:num>
  <w:num w:numId="5" w16cid:durableId="1501116029">
    <w:abstractNumId w:val="4"/>
  </w:num>
  <w:num w:numId="6" w16cid:durableId="1775780724">
    <w:abstractNumId w:val="4"/>
  </w:num>
  <w:num w:numId="7" w16cid:durableId="2004430155">
    <w:abstractNumId w:val="21"/>
  </w:num>
  <w:num w:numId="8" w16cid:durableId="820000239">
    <w:abstractNumId w:val="7"/>
  </w:num>
  <w:num w:numId="9" w16cid:durableId="1418207271">
    <w:abstractNumId w:val="26"/>
  </w:num>
  <w:num w:numId="10" w16cid:durableId="1583371418">
    <w:abstractNumId w:val="31"/>
  </w:num>
  <w:num w:numId="11" w16cid:durableId="654532386">
    <w:abstractNumId w:val="14"/>
  </w:num>
  <w:num w:numId="12" w16cid:durableId="1304584639">
    <w:abstractNumId w:val="12"/>
  </w:num>
  <w:num w:numId="13" w16cid:durableId="721171787">
    <w:abstractNumId w:val="10"/>
  </w:num>
  <w:num w:numId="14" w16cid:durableId="1592349769">
    <w:abstractNumId w:val="30"/>
  </w:num>
  <w:num w:numId="15" w16cid:durableId="278998918">
    <w:abstractNumId w:val="17"/>
  </w:num>
  <w:num w:numId="16" w16cid:durableId="434713335">
    <w:abstractNumId w:val="29"/>
  </w:num>
  <w:num w:numId="17" w16cid:durableId="1786650561">
    <w:abstractNumId w:val="18"/>
  </w:num>
  <w:num w:numId="18" w16cid:durableId="119229966">
    <w:abstractNumId w:val="8"/>
  </w:num>
  <w:num w:numId="19" w16cid:durableId="773282714">
    <w:abstractNumId w:val="24"/>
  </w:num>
  <w:num w:numId="20" w16cid:durableId="1943295931">
    <w:abstractNumId w:val="1"/>
  </w:num>
  <w:num w:numId="21" w16cid:durableId="721640857">
    <w:abstractNumId w:val="38"/>
  </w:num>
  <w:num w:numId="22" w16cid:durableId="1167212164">
    <w:abstractNumId w:val="39"/>
  </w:num>
  <w:num w:numId="23" w16cid:durableId="240023206">
    <w:abstractNumId w:val="25"/>
  </w:num>
  <w:num w:numId="24" w16cid:durableId="191648044">
    <w:abstractNumId w:val="13"/>
  </w:num>
  <w:num w:numId="25" w16cid:durableId="473066965">
    <w:abstractNumId w:val="22"/>
  </w:num>
  <w:num w:numId="26" w16cid:durableId="1489638411">
    <w:abstractNumId w:val="20"/>
  </w:num>
  <w:num w:numId="27" w16cid:durableId="1422525457">
    <w:abstractNumId w:val="19"/>
  </w:num>
  <w:num w:numId="28" w16cid:durableId="653946618">
    <w:abstractNumId w:val="5"/>
  </w:num>
  <w:num w:numId="29" w16cid:durableId="1543327048">
    <w:abstractNumId w:val="41"/>
  </w:num>
  <w:num w:numId="30" w16cid:durableId="991716118">
    <w:abstractNumId w:val="15"/>
  </w:num>
  <w:num w:numId="31" w16cid:durableId="737675157">
    <w:abstractNumId w:val="16"/>
  </w:num>
  <w:num w:numId="32" w16cid:durableId="526335178">
    <w:abstractNumId w:val="11"/>
  </w:num>
  <w:num w:numId="33" w16cid:durableId="1432161911">
    <w:abstractNumId w:val="6"/>
  </w:num>
  <w:num w:numId="34" w16cid:durableId="463815305">
    <w:abstractNumId w:val="28"/>
  </w:num>
  <w:num w:numId="35" w16cid:durableId="1451046251">
    <w:abstractNumId w:val="36"/>
  </w:num>
  <w:num w:numId="36" w16cid:durableId="610359898">
    <w:abstractNumId w:val="40"/>
  </w:num>
  <w:num w:numId="37" w16cid:durableId="1858034198">
    <w:abstractNumId w:val="23"/>
  </w:num>
  <w:num w:numId="38" w16cid:durableId="1579364628">
    <w:abstractNumId w:val="35"/>
  </w:num>
  <w:num w:numId="39" w16cid:durableId="104888846">
    <w:abstractNumId w:val="27"/>
  </w:num>
  <w:num w:numId="40" w16cid:durableId="1316372033">
    <w:abstractNumId w:val="2"/>
  </w:num>
  <w:num w:numId="41" w16cid:durableId="135607386">
    <w:abstractNumId w:val="9"/>
  </w:num>
  <w:num w:numId="42" w16cid:durableId="164050803">
    <w:abstractNumId w:val="33"/>
  </w:num>
  <w:num w:numId="43" w16cid:durableId="956260361">
    <w:abstractNumId w:val="37"/>
  </w:num>
  <w:num w:numId="44" w16cid:durableId="2949817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7FF8"/>
    <w:rsid w:val="00011C66"/>
    <w:rsid w:val="000129A5"/>
    <w:rsid w:val="00012A37"/>
    <w:rsid w:val="000262F6"/>
    <w:rsid w:val="00026BD3"/>
    <w:rsid w:val="00033397"/>
    <w:rsid w:val="00040095"/>
    <w:rsid w:val="000438C2"/>
    <w:rsid w:val="00046768"/>
    <w:rsid w:val="0004681A"/>
    <w:rsid w:val="0004717E"/>
    <w:rsid w:val="00051834"/>
    <w:rsid w:val="00051EE4"/>
    <w:rsid w:val="0005477E"/>
    <w:rsid w:val="00054A22"/>
    <w:rsid w:val="00062023"/>
    <w:rsid w:val="000655A6"/>
    <w:rsid w:val="00071312"/>
    <w:rsid w:val="00077697"/>
    <w:rsid w:val="00080512"/>
    <w:rsid w:val="000846CB"/>
    <w:rsid w:val="0009500A"/>
    <w:rsid w:val="00096CD8"/>
    <w:rsid w:val="000A365D"/>
    <w:rsid w:val="000A46CB"/>
    <w:rsid w:val="000A68F3"/>
    <w:rsid w:val="000A6BB1"/>
    <w:rsid w:val="000A7C0E"/>
    <w:rsid w:val="000B0559"/>
    <w:rsid w:val="000B4E6A"/>
    <w:rsid w:val="000B7599"/>
    <w:rsid w:val="000B7F5E"/>
    <w:rsid w:val="000C47C3"/>
    <w:rsid w:val="000D2AB6"/>
    <w:rsid w:val="000D2C4B"/>
    <w:rsid w:val="000D58AB"/>
    <w:rsid w:val="000E3702"/>
    <w:rsid w:val="000F1D2A"/>
    <w:rsid w:val="000F3400"/>
    <w:rsid w:val="000F42F7"/>
    <w:rsid w:val="000F4BE8"/>
    <w:rsid w:val="000F5D71"/>
    <w:rsid w:val="00101EB9"/>
    <w:rsid w:val="00104BC6"/>
    <w:rsid w:val="00112A20"/>
    <w:rsid w:val="00112D80"/>
    <w:rsid w:val="00114E2C"/>
    <w:rsid w:val="00133525"/>
    <w:rsid w:val="00133ED8"/>
    <w:rsid w:val="001343AB"/>
    <w:rsid w:val="00134E23"/>
    <w:rsid w:val="00152010"/>
    <w:rsid w:val="001620A7"/>
    <w:rsid w:val="00162A8A"/>
    <w:rsid w:val="00162DBE"/>
    <w:rsid w:val="00165302"/>
    <w:rsid w:val="00171166"/>
    <w:rsid w:val="00180632"/>
    <w:rsid w:val="00182F98"/>
    <w:rsid w:val="0019040A"/>
    <w:rsid w:val="00191964"/>
    <w:rsid w:val="00193F04"/>
    <w:rsid w:val="001A1513"/>
    <w:rsid w:val="001A4C42"/>
    <w:rsid w:val="001C21C3"/>
    <w:rsid w:val="001D02C2"/>
    <w:rsid w:val="001D3883"/>
    <w:rsid w:val="001D506F"/>
    <w:rsid w:val="001E6A20"/>
    <w:rsid w:val="001F0C1D"/>
    <w:rsid w:val="001F1132"/>
    <w:rsid w:val="001F168B"/>
    <w:rsid w:val="001F6F65"/>
    <w:rsid w:val="00200761"/>
    <w:rsid w:val="00210943"/>
    <w:rsid w:val="00211302"/>
    <w:rsid w:val="00223E60"/>
    <w:rsid w:val="00225E3F"/>
    <w:rsid w:val="002347A2"/>
    <w:rsid w:val="002419B9"/>
    <w:rsid w:val="00247926"/>
    <w:rsid w:val="00254E0F"/>
    <w:rsid w:val="00255247"/>
    <w:rsid w:val="0025541D"/>
    <w:rsid w:val="0025559B"/>
    <w:rsid w:val="002557C8"/>
    <w:rsid w:val="002600B9"/>
    <w:rsid w:val="00261DE3"/>
    <w:rsid w:val="00262167"/>
    <w:rsid w:val="002654F1"/>
    <w:rsid w:val="002675F0"/>
    <w:rsid w:val="00276EE4"/>
    <w:rsid w:val="002868F0"/>
    <w:rsid w:val="00287B8F"/>
    <w:rsid w:val="00293BCE"/>
    <w:rsid w:val="002953A4"/>
    <w:rsid w:val="002A5644"/>
    <w:rsid w:val="002B2D3F"/>
    <w:rsid w:val="002B378B"/>
    <w:rsid w:val="002B3DDB"/>
    <w:rsid w:val="002B5335"/>
    <w:rsid w:val="002B6339"/>
    <w:rsid w:val="002C4941"/>
    <w:rsid w:val="002D16F1"/>
    <w:rsid w:val="002D22D9"/>
    <w:rsid w:val="002D56F3"/>
    <w:rsid w:val="002E00EE"/>
    <w:rsid w:val="002E235F"/>
    <w:rsid w:val="002F0E0C"/>
    <w:rsid w:val="002F21F4"/>
    <w:rsid w:val="002F5216"/>
    <w:rsid w:val="00300ACF"/>
    <w:rsid w:val="00300BA9"/>
    <w:rsid w:val="00301868"/>
    <w:rsid w:val="00303F37"/>
    <w:rsid w:val="00307031"/>
    <w:rsid w:val="00313A57"/>
    <w:rsid w:val="0031539C"/>
    <w:rsid w:val="003172DC"/>
    <w:rsid w:val="003267D7"/>
    <w:rsid w:val="003348D2"/>
    <w:rsid w:val="003358E2"/>
    <w:rsid w:val="0033606D"/>
    <w:rsid w:val="00336438"/>
    <w:rsid w:val="003378AE"/>
    <w:rsid w:val="0034052F"/>
    <w:rsid w:val="00340CDF"/>
    <w:rsid w:val="0034273B"/>
    <w:rsid w:val="00345425"/>
    <w:rsid w:val="0034735C"/>
    <w:rsid w:val="003523D8"/>
    <w:rsid w:val="0035462D"/>
    <w:rsid w:val="00357075"/>
    <w:rsid w:val="00357908"/>
    <w:rsid w:val="003650C3"/>
    <w:rsid w:val="0036620E"/>
    <w:rsid w:val="00370A9A"/>
    <w:rsid w:val="003712BB"/>
    <w:rsid w:val="00371558"/>
    <w:rsid w:val="0037264F"/>
    <w:rsid w:val="003765B8"/>
    <w:rsid w:val="003844E2"/>
    <w:rsid w:val="00384F83"/>
    <w:rsid w:val="003A0483"/>
    <w:rsid w:val="003B4652"/>
    <w:rsid w:val="003C3971"/>
    <w:rsid w:val="003C4D69"/>
    <w:rsid w:val="003C561B"/>
    <w:rsid w:val="003D37E2"/>
    <w:rsid w:val="003D4522"/>
    <w:rsid w:val="003E1569"/>
    <w:rsid w:val="003E2C78"/>
    <w:rsid w:val="003E7753"/>
    <w:rsid w:val="003F07E3"/>
    <w:rsid w:val="003F5675"/>
    <w:rsid w:val="003F6793"/>
    <w:rsid w:val="0040110C"/>
    <w:rsid w:val="0041089F"/>
    <w:rsid w:val="00412687"/>
    <w:rsid w:val="0041496A"/>
    <w:rsid w:val="00420F8F"/>
    <w:rsid w:val="004231E2"/>
    <w:rsid w:val="00423334"/>
    <w:rsid w:val="00424397"/>
    <w:rsid w:val="0042668D"/>
    <w:rsid w:val="00430001"/>
    <w:rsid w:val="00431CAF"/>
    <w:rsid w:val="00433F1F"/>
    <w:rsid w:val="004345EC"/>
    <w:rsid w:val="00435B44"/>
    <w:rsid w:val="004406A5"/>
    <w:rsid w:val="00442E80"/>
    <w:rsid w:val="00443B1F"/>
    <w:rsid w:val="00445952"/>
    <w:rsid w:val="00447B7C"/>
    <w:rsid w:val="00447E12"/>
    <w:rsid w:val="004500C7"/>
    <w:rsid w:val="00455C0B"/>
    <w:rsid w:val="00472C04"/>
    <w:rsid w:val="004735B3"/>
    <w:rsid w:val="0048182A"/>
    <w:rsid w:val="004826A9"/>
    <w:rsid w:val="004837BD"/>
    <w:rsid w:val="004A603D"/>
    <w:rsid w:val="004A6B02"/>
    <w:rsid w:val="004B0631"/>
    <w:rsid w:val="004B0ECB"/>
    <w:rsid w:val="004C1601"/>
    <w:rsid w:val="004C21DF"/>
    <w:rsid w:val="004C5265"/>
    <w:rsid w:val="004D3578"/>
    <w:rsid w:val="004E0E90"/>
    <w:rsid w:val="004E213A"/>
    <w:rsid w:val="004E3C97"/>
    <w:rsid w:val="004E7F50"/>
    <w:rsid w:val="004F0988"/>
    <w:rsid w:val="004F3340"/>
    <w:rsid w:val="004F3E3D"/>
    <w:rsid w:val="004F46DD"/>
    <w:rsid w:val="004F6220"/>
    <w:rsid w:val="00503000"/>
    <w:rsid w:val="005032A8"/>
    <w:rsid w:val="005037D3"/>
    <w:rsid w:val="00506787"/>
    <w:rsid w:val="005157F0"/>
    <w:rsid w:val="00520120"/>
    <w:rsid w:val="005204B4"/>
    <w:rsid w:val="0052244D"/>
    <w:rsid w:val="00523FCE"/>
    <w:rsid w:val="0052522E"/>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74662"/>
    <w:rsid w:val="00582450"/>
    <w:rsid w:val="005930E6"/>
    <w:rsid w:val="005973BE"/>
    <w:rsid w:val="005A5986"/>
    <w:rsid w:val="005B1F1B"/>
    <w:rsid w:val="005B27C4"/>
    <w:rsid w:val="005B365D"/>
    <w:rsid w:val="005B3CCF"/>
    <w:rsid w:val="005B5B6F"/>
    <w:rsid w:val="005C2A4F"/>
    <w:rsid w:val="005C4000"/>
    <w:rsid w:val="005C422A"/>
    <w:rsid w:val="005C67E7"/>
    <w:rsid w:val="005D0DD2"/>
    <w:rsid w:val="005D2E01"/>
    <w:rsid w:val="005D5DCB"/>
    <w:rsid w:val="005D7526"/>
    <w:rsid w:val="005E146F"/>
    <w:rsid w:val="005E69AE"/>
    <w:rsid w:val="005F4B4C"/>
    <w:rsid w:val="005F4CDD"/>
    <w:rsid w:val="005F5B2B"/>
    <w:rsid w:val="005F6269"/>
    <w:rsid w:val="00602AEA"/>
    <w:rsid w:val="006066AD"/>
    <w:rsid w:val="00607E3C"/>
    <w:rsid w:val="00611E73"/>
    <w:rsid w:val="0061275B"/>
    <w:rsid w:val="00614FDF"/>
    <w:rsid w:val="00617ED4"/>
    <w:rsid w:val="00623C82"/>
    <w:rsid w:val="006246A7"/>
    <w:rsid w:val="0062595A"/>
    <w:rsid w:val="00632B45"/>
    <w:rsid w:val="00632D83"/>
    <w:rsid w:val="006343D6"/>
    <w:rsid w:val="0063543D"/>
    <w:rsid w:val="006443A4"/>
    <w:rsid w:val="006459B5"/>
    <w:rsid w:val="00647114"/>
    <w:rsid w:val="00662A4B"/>
    <w:rsid w:val="0066731C"/>
    <w:rsid w:val="006753FB"/>
    <w:rsid w:val="006754A1"/>
    <w:rsid w:val="006759E6"/>
    <w:rsid w:val="0068504F"/>
    <w:rsid w:val="006938AC"/>
    <w:rsid w:val="00695E83"/>
    <w:rsid w:val="006A0145"/>
    <w:rsid w:val="006A016F"/>
    <w:rsid w:val="006A323F"/>
    <w:rsid w:val="006B30D0"/>
    <w:rsid w:val="006C0AD3"/>
    <w:rsid w:val="006C3D95"/>
    <w:rsid w:val="006C79D3"/>
    <w:rsid w:val="006D1E99"/>
    <w:rsid w:val="006D6F20"/>
    <w:rsid w:val="006E2A42"/>
    <w:rsid w:val="006E3141"/>
    <w:rsid w:val="006E5C86"/>
    <w:rsid w:val="006E7671"/>
    <w:rsid w:val="006F71F4"/>
    <w:rsid w:val="00702514"/>
    <w:rsid w:val="00705538"/>
    <w:rsid w:val="007059D9"/>
    <w:rsid w:val="007060EB"/>
    <w:rsid w:val="007136CC"/>
    <w:rsid w:val="00713C44"/>
    <w:rsid w:val="00723A44"/>
    <w:rsid w:val="00726A73"/>
    <w:rsid w:val="00734A5B"/>
    <w:rsid w:val="0074026F"/>
    <w:rsid w:val="007420D3"/>
    <w:rsid w:val="007429F6"/>
    <w:rsid w:val="00742B5A"/>
    <w:rsid w:val="00744E76"/>
    <w:rsid w:val="00752198"/>
    <w:rsid w:val="00753881"/>
    <w:rsid w:val="00761266"/>
    <w:rsid w:val="007615CA"/>
    <w:rsid w:val="00762483"/>
    <w:rsid w:val="00770B53"/>
    <w:rsid w:val="00773910"/>
    <w:rsid w:val="0077432F"/>
    <w:rsid w:val="00774DA4"/>
    <w:rsid w:val="00775195"/>
    <w:rsid w:val="00781F0F"/>
    <w:rsid w:val="007851C1"/>
    <w:rsid w:val="00786D37"/>
    <w:rsid w:val="00791FEE"/>
    <w:rsid w:val="0079478C"/>
    <w:rsid w:val="007B2F1E"/>
    <w:rsid w:val="007B462B"/>
    <w:rsid w:val="007B600E"/>
    <w:rsid w:val="007C4A4E"/>
    <w:rsid w:val="007C6D6F"/>
    <w:rsid w:val="007D5172"/>
    <w:rsid w:val="007D53B3"/>
    <w:rsid w:val="007D5A1C"/>
    <w:rsid w:val="007D7D88"/>
    <w:rsid w:val="007E2E4B"/>
    <w:rsid w:val="007E6293"/>
    <w:rsid w:val="007F0F4A"/>
    <w:rsid w:val="007F1549"/>
    <w:rsid w:val="008028A4"/>
    <w:rsid w:val="008038C2"/>
    <w:rsid w:val="00810E8D"/>
    <w:rsid w:val="00820B25"/>
    <w:rsid w:val="00820E0F"/>
    <w:rsid w:val="00821AEF"/>
    <w:rsid w:val="00826E3B"/>
    <w:rsid w:val="00830747"/>
    <w:rsid w:val="00831714"/>
    <w:rsid w:val="00833062"/>
    <w:rsid w:val="00833358"/>
    <w:rsid w:val="008340FF"/>
    <w:rsid w:val="008366FC"/>
    <w:rsid w:val="00841896"/>
    <w:rsid w:val="0084389E"/>
    <w:rsid w:val="00843B15"/>
    <w:rsid w:val="00853CDF"/>
    <w:rsid w:val="008559EF"/>
    <w:rsid w:val="008569D0"/>
    <w:rsid w:val="00863A2E"/>
    <w:rsid w:val="00871DFA"/>
    <w:rsid w:val="00871E62"/>
    <w:rsid w:val="008768CA"/>
    <w:rsid w:val="00881283"/>
    <w:rsid w:val="008826B0"/>
    <w:rsid w:val="008A54F8"/>
    <w:rsid w:val="008A5EFF"/>
    <w:rsid w:val="008B2D3A"/>
    <w:rsid w:val="008C1634"/>
    <w:rsid w:val="008C384C"/>
    <w:rsid w:val="008C4A39"/>
    <w:rsid w:val="008D1236"/>
    <w:rsid w:val="008D3F18"/>
    <w:rsid w:val="008E112D"/>
    <w:rsid w:val="008E734D"/>
    <w:rsid w:val="008E7986"/>
    <w:rsid w:val="008F15A3"/>
    <w:rsid w:val="0090271F"/>
    <w:rsid w:val="00902E23"/>
    <w:rsid w:val="009073D6"/>
    <w:rsid w:val="00910D9E"/>
    <w:rsid w:val="009114D7"/>
    <w:rsid w:val="009125EF"/>
    <w:rsid w:val="0091348E"/>
    <w:rsid w:val="00914D87"/>
    <w:rsid w:val="00915891"/>
    <w:rsid w:val="00915D75"/>
    <w:rsid w:val="00917398"/>
    <w:rsid w:val="00917CCB"/>
    <w:rsid w:val="00924DAC"/>
    <w:rsid w:val="00926B17"/>
    <w:rsid w:val="00926F97"/>
    <w:rsid w:val="0093257B"/>
    <w:rsid w:val="00935B71"/>
    <w:rsid w:val="009426F4"/>
    <w:rsid w:val="00942EC2"/>
    <w:rsid w:val="009433B6"/>
    <w:rsid w:val="00947ADF"/>
    <w:rsid w:val="00947F73"/>
    <w:rsid w:val="00954463"/>
    <w:rsid w:val="009545A1"/>
    <w:rsid w:val="00963F84"/>
    <w:rsid w:val="00970201"/>
    <w:rsid w:val="009750A6"/>
    <w:rsid w:val="009876B4"/>
    <w:rsid w:val="00991277"/>
    <w:rsid w:val="00991C1A"/>
    <w:rsid w:val="00995869"/>
    <w:rsid w:val="009A758A"/>
    <w:rsid w:val="009B54B4"/>
    <w:rsid w:val="009C2C1B"/>
    <w:rsid w:val="009C412B"/>
    <w:rsid w:val="009C47B5"/>
    <w:rsid w:val="009C48D3"/>
    <w:rsid w:val="009E4AB1"/>
    <w:rsid w:val="009F237D"/>
    <w:rsid w:val="009F2F14"/>
    <w:rsid w:val="009F37B7"/>
    <w:rsid w:val="009F4887"/>
    <w:rsid w:val="009F5E43"/>
    <w:rsid w:val="00A03460"/>
    <w:rsid w:val="00A051F0"/>
    <w:rsid w:val="00A07446"/>
    <w:rsid w:val="00A10F02"/>
    <w:rsid w:val="00A15A0C"/>
    <w:rsid w:val="00A164B4"/>
    <w:rsid w:val="00A22938"/>
    <w:rsid w:val="00A255D6"/>
    <w:rsid w:val="00A26956"/>
    <w:rsid w:val="00A33E80"/>
    <w:rsid w:val="00A35C25"/>
    <w:rsid w:val="00A37271"/>
    <w:rsid w:val="00A412DF"/>
    <w:rsid w:val="00A41A75"/>
    <w:rsid w:val="00A4303F"/>
    <w:rsid w:val="00A44CBF"/>
    <w:rsid w:val="00A47362"/>
    <w:rsid w:val="00A53724"/>
    <w:rsid w:val="00A5526E"/>
    <w:rsid w:val="00A66A04"/>
    <w:rsid w:val="00A73129"/>
    <w:rsid w:val="00A76978"/>
    <w:rsid w:val="00A77534"/>
    <w:rsid w:val="00A82346"/>
    <w:rsid w:val="00A82D1F"/>
    <w:rsid w:val="00A8668F"/>
    <w:rsid w:val="00A9153E"/>
    <w:rsid w:val="00A91EAD"/>
    <w:rsid w:val="00A92BA1"/>
    <w:rsid w:val="00A951A7"/>
    <w:rsid w:val="00AB7F3B"/>
    <w:rsid w:val="00AC0039"/>
    <w:rsid w:val="00AC1040"/>
    <w:rsid w:val="00AC135F"/>
    <w:rsid w:val="00AC54B7"/>
    <w:rsid w:val="00AC6BC6"/>
    <w:rsid w:val="00AD2973"/>
    <w:rsid w:val="00AD47EE"/>
    <w:rsid w:val="00AD501B"/>
    <w:rsid w:val="00AD5DD7"/>
    <w:rsid w:val="00AD6276"/>
    <w:rsid w:val="00AE361D"/>
    <w:rsid w:val="00AE3797"/>
    <w:rsid w:val="00AE5821"/>
    <w:rsid w:val="00AF36D6"/>
    <w:rsid w:val="00AF37B5"/>
    <w:rsid w:val="00AF4359"/>
    <w:rsid w:val="00AF4FE2"/>
    <w:rsid w:val="00AF5752"/>
    <w:rsid w:val="00AF76EA"/>
    <w:rsid w:val="00B03FD0"/>
    <w:rsid w:val="00B06539"/>
    <w:rsid w:val="00B10171"/>
    <w:rsid w:val="00B15449"/>
    <w:rsid w:val="00B16019"/>
    <w:rsid w:val="00B1637B"/>
    <w:rsid w:val="00B211C1"/>
    <w:rsid w:val="00B27217"/>
    <w:rsid w:val="00B27C15"/>
    <w:rsid w:val="00B32270"/>
    <w:rsid w:val="00B3654C"/>
    <w:rsid w:val="00B43A3F"/>
    <w:rsid w:val="00B44E1F"/>
    <w:rsid w:val="00B4615A"/>
    <w:rsid w:val="00B60B51"/>
    <w:rsid w:val="00B61EEA"/>
    <w:rsid w:val="00B620CD"/>
    <w:rsid w:val="00B62383"/>
    <w:rsid w:val="00B62DE3"/>
    <w:rsid w:val="00B6369D"/>
    <w:rsid w:val="00B642CB"/>
    <w:rsid w:val="00B763CA"/>
    <w:rsid w:val="00B774BF"/>
    <w:rsid w:val="00B83171"/>
    <w:rsid w:val="00B838F7"/>
    <w:rsid w:val="00B84D6B"/>
    <w:rsid w:val="00B913A1"/>
    <w:rsid w:val="00B93086"/>
    <w:rsid w:val="00BA19ED"/>
    <w:rsid w:val="00BA2253"/>
    <w:rsid w:val="00BA300B"/>
    <w:rsid w:val="00BA4B8D"/>
    <w:rsid w:val="00BA59E2"/>
    <w:rsid w:val="00BA7900"/>
    <w:rsid w:val="00BB500C"/>
    <w:rsid w:val="00BB52E5"/>
    <w:rsid w:val="00BC0F7D"/>
    <w:rsid w:val="00BC4103"/>
    <w:rsid w:val="00BD69DB"/>
    <w:rsid w:val="00BE2A72"/>
    <w:rsid w:val="00BE3255"/>
    <w:rsid w:val="00BE3B9C"/>
    <w:rsid w:val="00BF128E"/>
    <w:rsid w:val="00BF1E1E"/>
    <w:rsid w:val="00C02C5C"/>
    <w:rsid w:val="00C054B3"/>
    <w:rsid w:val="00C11FDC"/>
    <w:rsid w:val="00C1496A"/>
    <w:rsid w:val="00C15F7F"/>
    <w:rsid w:val="00C163A6"/>
    <w:rsid w:val="00C2281E"/>
    <w:rsid w:val="00C23CE1"/>
    <w:rsid w:val="00C2427F"/>
    <w:rsid w:val="00C24837"/>
    <w:rsid w:val="00C26810"/>
    <w:rsid w:val="00C33079"/>
    <w:rsid w:val="00C34DDA"/>
    <w:rsid w:val="00C353F4"/>
    <w:rsid w:val="00C45231"/>
    <w:rsid w:val="00C63D49"/>
    <w:rsid w:val="00C72833"/>
    <w:rsid w:val="00C7616D"/>
    <w:rsid w:val="00C80F1D"/>
    <w:rsid w:val="00C82174"/>
    <w:rsid w:val="00C83BD4"/>
    <w:rsid w:val="00C91D09"/>
    <w:rsid w:val="00C93F40"/>
    <w:rsid w:val="00C95679"/>
    <w:rsid w:val="00C9693D"/>
    <w:rsid w:val="00C969B2"/>
    <w:rsid w:val="00CA3D0C"/>
    <w:rsid w:val="00CA7102"/>
    <w:rsid w:val="00CB445C"/>
    <w:rsid w:val="00CB51CC"/>
    <w:rsid w:val="00CC59FA"/>
    <w:rsid w:val="00CD0EA6"/>
    <w:rsid w:val="00CD45C9"/>
    <w:rsid w:val="00CD655A"/>
    <w:rsid w:val="00CE4C40"/>
    <w:rsid w:val="00CF20E3"/>
    <w:rsid w:val="00D008D3"/>
    <w:rsid w:val="00D025AF"/>
    <w:rsid w:val="00D03471"/>
    <w:rsid w:val="00D04514"/>
    <w:rsid w:val="00D05632"/>
    <w:rsid w:val="00D076B8"/>
    <w:rsid w:val="00D07C26"/>
    <w:rsid w:val="00D17573"/>
    <w:rsid w:val="00D27630"/>
    <w:rsid w:val="00D3057E"/>
    <w:rsid w:val="00D309CC"/>
    <w:rsid w:val="00D41667"/>
    <w:rsid w:val="00D42AC7"/>
    <w:rsid w:val="00D46431"/>
    <w:rsid w:val="00D46570"/>
    <w:rsid w:val="00D511EB"/>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06F6"/>
    <w:rsid w:val="00D9134D"/>
    <w:rsid w:val="00D970EA"/>
    <w:rsid w:val="00D97FCF"/>
    <w:rsid w:val="00DA0358"/>
    <w:rsid w:val="00DA27C2"/>
    <w:rsid w:val="00DA3114"/>
    <w:rsid w:val="00DA41E8"/>
    <w:rsid w:val="00DA60EC"/>
    <w:rsid w:val="00DA65F1"/>
    <w:rsid w:val="00DA7A03"/>
    <w:rsid w:val="00DB0281"/>
    <w:rsid w:val="00DB1818"/>
    <w:rsid w:val="00DB468A"/>
    <w:rsid w:val="00DB5EF6"/>
    <w:rsid w:val="00DC309B"/>
    <w:rsid w:val="00DC4DA2"/>
    <w:rsid w:val="00DC7727"/>
    <w:rsid w:val="00DD03DF"/>
    <w:rsid w:val="00DD18AC"/>
    <w:rsid w:val="00DD27CF"/>
    <w:rsid w:val="00DD4C17"/>
    <w:rsid w:val="00DE1897"/>
    <w:rsid w:val="00DE676A"/>
    <w:rsid w:val="00DF2B1F"/>
    <w:rsid w:val="00DF6189"/>
    <w:rsid w:val="00DF62CD"/>
    <w:rsid w:val="00E00755"/>
    <w:rsid w:val="00E02E2B"/>
    <w:rsid w:val="00E05F26"/>
    <w:rsid w:val="00E068AE"/>
    <w:rsid w:val="00E07D2B"/>
    <w:rsid w:val="00E100E0"/>
    <w:rsid w:val="00E144A6"/>
    <w:rsid w:val="00E1558D"/>
    <w:rsid w:val="00E16486"/>
    <w:rsid w:val="00E16509"/>
    <w:rsid w:val="00E22E04"/>
    <w:rsid w:val="00E320BC"/>
    <w:rsid w:val="00E37D2C"/>
    <w:rsid w:val="00E40560"/>
    <w:rsid w:val="00E41341"/>
    <w:rsid w:val="00E44582"/>
    <w:rsid w:val="00E45E4A"/>
    <w:rsid w:val="00E50FFC"/>
    <w:rsid w:val="00E52814"/>
    <w:rsid w:val="00E613FA"/>
    <w:rsid w:val="00E670FF"/>
    <w:rsid w:val="00E72324"/>
    <w:rsid w:val="00E723B3"/>
    <w:rsid w:val="00E72ABE"/>
    <w:rsid w:val="00E75C6A"/>
    <w:rsid w:val="00E77645"/>
    <w:rsid w:val="00E84530"/>
    <w:rsid w:val="00E85A25"/>
    <w:rsid w:val="00E87309"/>
    <w:rsid w:val="00E87A96"/>
    <w:rsid w:val="00E963C4"/>
    <w:rsid w:val="00E97D21"/>
    <w:rsid w:val="00EA70EA"/>
    <w:rsid w:val="00EB22F4"/>
    <w:rsid w:val="00EC05A2"/>
    <w:rsid w:val="00EC3517"/>
    <w:rsid w:val="00EC454E"/>
    <w:rsid w:val="00EC4A25"/>
    <w:rsid w:val="00ED2E9E"/>
    <w:rsid w:val="00ED5EEF"/>
    <w:rsid w:val="00EE0D55"/>
    <w:rsid w:val="00EE2719"/>
    <w:rsid w:val="00EE4AD0"/>
    <w:rsid w:val="00EE57BC"/>
    <w:rsid w:val="00EE5AA7"/>
    <w:rsid w:val="00EF433E"/>
    <w:rsid w:val="00EF4B21"/>
    <w:rsid w:val="00F01EB2"/>
    <w:rsid w:val="00F025A2"/>
    <w:rsid w:val="00F027A2"/>
    <w:rsid w:val="00F0286F"/>
    <w:rsid w:val="00F03D8B"/>
    <w:rsid w:val="00F04712"/>
    <w:rsid w:val="00F0567B"/>
    <w:rsid w:val="00F064C8"/>
    <w:rsid w:val="00F07B00"/>
    <w:rsid w:val="00F149D5"/>
    <w:rsid w:val="00F1639A"/>
    <w:rsid w:val="00F20DA5"/>
    <w:rsid w:val="00F21311"/>
    <w:rsid w:val="00F21696"/>
    <w:rsid w:val="00F22EC7"/>
    <w:rsid w:val="00F2340C"/>
    <w:rsid w:val="00F2543B"/>
    <w:rsid w:val="00F3025B"/>
    <w:rsid w:val="00F31878"/>
    <w:rsid w:val="00F31A38"/>
    <w:rsid w:val="00F325C8"/>
    <w:rsid w:val="00F3263B"/>
    <w:rsid w:val="00F33616"/>
    <w:rsid w:val="00F40BE4"/>
    <w:rsid w:val="00F417A1"/>
    <w:rsid w:val="00F614F2"/>
    <w:rsid w:val="00F61745"/>
    <w:rsid w:val="00F62AEB"/>
    <w:rsid w:val="00F63709"/>
    <w:rsid w:val="00F63841"/>
    <w:rsid w:val="00F64730"/>
    <w:rsid w:val="00F653B8"/>
    <w:rsid w:val="00F70647"/>
    <w:rsid w:val="00F75917"/>
    <w:rsid w:val="00F82012"/>
    <w:rsid w:val="00F84157"/>
    <w:rsid w:val="00F9406D"/>
    <w:rsid w:val="00FA1266"/>
    <w:rsid w:val="00FA2910"/>
    <w:rsid w:val="00FA65D0"/>
    <w:rsid w:val="00FB56EC"/>
    <w:rsid w:val="00FC1192"/>
    <w:rsid w:val="00FC41AB"/>
    <w:rsid w:val="00FC671A"/>
    <w:rsid w:val="00FD1E6E"/>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numbering" w:customStyle="1" w:styleId="CurrentList1">
    <w:name w:val="Current List1"/>
    <w:uiPriority w:val="99"/>
    <w:rsid w:val="007136C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13</cp:revision>
  <cp:lastPrinted>2019-02-25T14:05:00Z</cp:lastPrinted>
  <dcterms:created xsi:type="dcterms:W3CDTF">2022-08-10T17:22:00Z</dcterms:created>
  <dcterms:modified xsi:type="dcterms:W3CDTF">2022-08-10T21:17:00Z</dcterms:modified>
  <cp:category/>
</cp:coreProperties>
</file>